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1E5F" w:rsidRDefault="00A30083">
      <w:pPr>
        <w:jc w:val="both"/>
      </w:pPr>
      <w:r>
        <w:rPr>
          <w:rFonts w:ascii="Times New Roman" w:eastAsia="Times New Roman" w:hAnsi="Times New Roman" w:cs="Times New Roman"/>
          <w:i/>
        </w:rPr>
        <w:t>First Circular</w:t>
      </w:r>
    </w:p>
    <w:p w:rsidR="00211E5F" w:rsidRDefault="00211E5F">
      <w:pPr>
        <w:jc w:val="both"/>
      </w:pPr>
    </w:p>
    <w:p w:rsidR="00211E5F" w:rsidRDefault="00A30083">
      <w:pPr>
        <w:jc w:val="center"/>
      </w:pPr>
      <w:r>
        <w:rPr>
          <w:rFonts w:ascii="Times New Roman" w:eastAsia="Times New Roman" w:hAnsi="Times New Roman" w:cs="Times New Roman"/>
        </w:rPr>
        <w:t>CALL FOR PAPERS</w:t>
      </w:r>
    </w:p>
    <w:p w:rsidR="00211E5F" w:rsidRDefault="00A30083">
      <w:pPr>
        <w:jc w:val="center"/>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International LARIM Conference</w:t>
      </w:r>
    </w:p>
    <w:p w:rsidR="00211E5F" w:rsidRDefault="00A30083">
      <w:pPr>
        <w:jc w:val="center"/>
      </w:pPr>
      <w:r>
        <w:rPr>
          <w:rFonts w:ascii="Times New Roman" w:eastAsia="Times New Roman" w:hAnsi="Times New Roman" w:cs="Times New Roman"/>
          <w:i/>
        </w:rPr>
        <w:t>Power and Ideology in Interpreter-Mediated Contexts</w:t>
      </w:r>
    </w:p>
    <w:p w:rsidR="00211E5F" w:rsidRDefault="00A30083">
      <w:pPr>
        <w:jc w:val="center"/>
      </w:pPr>
      <w:r>
        <w:rPr>
          <w:rFonts w:ascii="Times New Roman" w:eastAsia="Times New Roman" w:hAnsi="Times New Roman" w:cs="Times New Roman"/>
        </w:rPr>
        <w:t>UNINT, 23-24 November 2017</w:t>
      </w:r>
    </w:p>
    <w:p w:rsidR="00211E5F" w:rsidRDefault="00211E5F">
      <w:pPr>
        <w:jc w:val="both"/>
      </w:pPr>
    </w:p>
    <w:p w:rsidR="00211E5F" w:rsidRDefault="00211E5F">
      <w:pPr>
        <w:jc w:val="both"/>
      </w:pPr>
    </w:p>
    <w:p w:rsidR="00211E5F" w:rsidRDefault="00A30083">
      <w:pPr>
        <w:spacing w:after="240"/>
        <w:jc w:val="both"/>
      </w:pPr>
      <w:r>
        <w:rPr>
          <w:rFonts w:ascii="Times New Roman" w:eastAsia="Times New Roman" w:hAnsi="Times New Roman" w:cs="Times New Roman"/>
        </w:rPr>
        <w:t>LARIM (Laboratory of Interpreter-Mediated Interactions), a research group on interpreter-mediated interactions set up in October 2012 within the Faculty of Interpreting and Translation (FIT) of UNINT (University of International Studies of Rome), is organi</w:t>
      </w:r>
      <w:r>
        <w:rPr>
          <w:rFonts w:ascii="Times New Roman" w:eastAsia="Times New Roman" w:hAnsi="Times New Roman" w:cs="Times New Roman"/>
        </w:rPr>
        <w:t>zing its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International Conference on 23-24 November 2017. </w:t>
      </w:r>
    </w:p>
    <w:p w:rsidR="00211E5F" w:rsidRDefault="00A30083">
      <w:pPr>
        <w:spacing w:after="240"/>
        <w:jc w:val="both"/>
      </w:pPr>
      <w:bookmarkStart w:id="0" w:name="_gjdgxs" w:colFirst="0" w:colLast="0"/>
      <w:bookmarkEnd w:id="0"/>
      <w:r>
        <w:rPr>
          <w:rFonts w:ascii="Times New Roman" w:eastAsia="Times New Roman" w:hAnsi="Times New Roman" w:cs="Times New Roman"/>
        </w:rPr>
        <w:t>Our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conference ‘Interpreter­-mediated interactions: methodologies and models’ was held in Rome on 7-9 November 2013 as a tribute to Miriam Shlesinger. Three publications have seen the light</w:t>
      </w:r>
      <w:r>
        <w:rPr>
          <w:rFonts w:ascii="Times New Roman" w:eastAsia="Times New Roman" w:hAnsi="Times New Roman" w:cs="Times New Roman"/>
        </w:rPr>
        <w:t xml:space="preserve"> since then, which were inspired by and based on many of the contributions to that conference:</w:t>
      </w:r>
    </w:p>
    <w:p w:rsidR="00211E5F" w:rsidRDefault="00A30083">
      <w:pPr>
        <w:ind w:left="284" w:hanging="284"/>
        <w:jc w:val="both"/>
      </w:pPr>
      <w:r>
        <w:rPr>
          <w:rFonts w:ascii="Times New Roman" w:eastAsia="Times New Roman" w:hAnsi="Times New Roman" w:cs="Times New Roman"/>
        </w:rPr>
        <w:t xml:space="preserve">Biagini, Marta; Boyd, Michael S.; Monacelli, Claudia (eds) (in press) </w:t>
      </w:r>
      <w:r>
        <w:rPr>
          <w:rFonts w:ascii="Times New Roman" w:eastAsia="Times New Roman" w:hAnsi="Times New Roman" w:cs="Times New Roman"/>
          <w:i/>
        </w:rPr>
        <w:t>The Changing Role of the Interpreter: Contextualising norms, ethics and quality standards</w:t>
      </w:r>
      <w:r>
        <w:rPr>
          <w:rFonts w:ascii="Times New Roman" w:eastAsia="Times New Roman" w:hAnsi="Times New Roman" w:cs="Times New Roman"/>
        </w:rPr>
        <w:t xml:space="preserve">. </w:t>
      </w:r>
      <w:r>
        <w:rPr>
          <w:rFonts w:ascii="Times New Roman" w:eastAsia="Times New Roman" w:hAnsi="Times New Roman" w:cs="Times New Roman"/>
        </w:rPr>
        <w:t>London/New York: Routledge.</w:t>
      </w:r>
    </w:p>
    <w:p w:rsidR="00211E5F" w:rsidRDefault="00A30083">
      <w:pPr>
        <w:ind w:left="284" w:hanging="284"/>
        <w:jc w:val="both"/>
      </w:pPr>
      <w:r>
        <w:rPr>
          <w:rFonts w:ascii="Times New Roman" w:eastAsia="Times New Roman" w:hAnsi="Times New Roman" w:cs="Times New Roman"/>
        </w:rPr>
        <w:t>Biagini, Marta; Davitti, Elena; Sandre</w:t>
      </w:r>
      <w:bookmarkStart w:id="1" w:name="_GoBack"/>
      <w:bookmarkEnd w:id="1"/>
      <w:r>
        <w:rPr>
          <w:rFonts w:ascii="Times New Roman" w:eastAsia="Times New Roman" w:hAnsi="Times New Roman" w:cs="Times New Roman"/>
        </w:rPr>
        <w:t xml:space="preserve">lli, Annalisa (eds.) (2017) </w:t>
      </w:r>
      <w:r>
        <w:rPr>
          <w:rFonts w:ascii="Times New Roman" w:eastAsia="Times New Roman" w:hAnsi="Times New Roman" w:cs="Times New Roman"/>
          <w:i/>
        </w:rPr>
        <w:t>Participation in Interpreter-mediated Interaction: Shifting along a multidimensional continuum</w:t>
      </w:r>
      <w:r>
        <w:rPr>
          <w:rFonts w:ascii="Times New Roman" w:eastAsia="Times New Roman" w:hAnsi="Times New Roman" w:cs="Times New Roman"/>
        </w:rPr>
        <w:t xml:space="preserve">. Special issue of the </w:t>
      </w:r>
      <w:r>
        <w:rPr>
          <w:rFonts w:ascii="Times New Roman" w:eastAsia="Times New Roman" w:hAnsi="Times New Roman" w:cs="Times New Roman"/>
          <w:i/>
        </w:rPr>
        <w:t xml:space="preserve">Journal of Pragmatics, </w:t>
      </w:r>
      <w:r>
        <w:rPr>
          <w:rFonts w:ascii="Times New Roman" w:eastAsia="Times New Roman" w:hAnsi="Times New Roman" w:cs="Times New Roman"/>
        </w:rPr>
        <w:t>Volume 107, January 20</w:t>
      </w:r>
      <w:r>
        <w:rPr>
          <w:rFonts w:ascii="Times New Roman" w:eastAsia="Times New Roman" w:hAnsi="Times New Roman" w:cs="Times New Roman"/>
        </w:rPr>
        <w:t>17.</w:t>
      </w:r>
    </w:p>
    <w:p w:rsidR="00211E5F" w:rsidRDefault="00A30083">
      <w:pPr>
        <w:ind w:left="284" w:hanging="284"/>
        <w:jc w:val="both"/>
      </w:pPr>
      <w:r>
        <w:rPr>
          <w:rFonts w:ascii="Times New Roman" w:eastAsia="Times New Roman" w:hAnsi="Times New Roman" w:cs="Times New Roman"/>
        </w:rPr>
        <w:t xml:space="preserve">Bendazzoli, Claudio and Monacelli, Claudia (eds.) (2016) </w:t>
      </w:r>
      <w:r>
        <w:rPr>
          <w:rFonts w:ascii="Times New Roman" w:eastAsia="Times New Roman" w:hAnsi="Times New Roman" w:cs="Times New Roman"/>
          <w:i/>
        </w:rPr>
        <w:t>Addressing Methodological Challenges in Interpreting Studies Research</w:t>
      </w:r>
      <w:r>
        <w:rPr>
          <w:rFonts w:ascii="Times New Roman" w:eastAsia="Times New Roman" w:hAnsi="Times New Roman" w:cs="Times New Roman"/>
        </w:rPr>
        <w:t>. Newcastle upon Tyne: Cambridge Scholars Publishing.</w:t>
      </w:r>
    </w:p>
    <w:p w:rsidR="00211E5F" w:rsidRDefault="00211E5F">
      <w:pPr>
        <w:ind w:left="284" w:hanging="284"/>
        <w:jc w:val="both"/>
      </w:pPr>
    </w:p>
    <w:p w:rsidR="00211E5F" w:rsidRDefault="00A30083">
      <w:pPr>
        <w:spacing w:after="240"/>
        <w:jc w:val="both"/>
      </w:pPr>
      <w:r>
        <w:rPr>
          <w:rFonts w:ascii="Times New Roman" w:eastAsia="Times New Roman" w:hAnsi="Times New Roman" w:cs="Times New Roman"/>
        </w:rPr>
        <w:t>In the most recent publication above, still in press, the editors close</w:t>
      </w:r>
      <w:r>
        <w:rPr>
          <w:rFonts w:ascii="Times New Roman" w:eastAsia="Times New Roman" w:hAnsi="Times New Roman" w:cs="Times New Roman"/>
        </w:rPr>
        <w:t xml:space="preserve"> the volume with an Afterword where they express the following</w:t>
      </w:r>
    </w:p>
    <w:p w:rsidR="00211E5F" w:rsidRDefault="00A30083">
      <w:pPr>
        <w:ind w:left="397" w:right="397"/>
        <w:jc w:val="both"/>
      </w:pPr>
      <w:r>
        <w:rPr>
          <w:rFonts w:ascii="Times New Roman" w:eastAsia="Times New Roman" w:hAnsi="Times New Roman" w:cs="Times New Roman"/>
          <w:color w:val="00000A"/>
        </w:rPr>
        <w:t>It would be interesting for future research to further examine the relationship between the interpreter’s performance and the institutional discourse producer’s ownership of discourse and socia</w:t>
      </w:r>
      <w:r>
        <w:rPr>
          <w:rFonts w:ascii="Times New Roman" w:eastAsia="Times New Roman" w:hAnsi="Times New Roman" w:cs="Times New Roman"/>
          <w:color w:val="00000A"/>
        </w:rPr>
        <w:t>l practices. In such a view discourse ownership could be construed in terms of its relation to power and ideology focusing on the correlation between the discourse producer and the interpreter. Thus, does the dominant position of the speakers, be they from</w:t>
      </w:r>
      <w:r>
        <w:rPr>
          <w:rFonts w:ascii="Times New Roman" w:eastAsia="Times New Roman" w:hAnsi="Times New Roman" w:cs="Times New Roman"/>
          <w:color w:val="00000A"/>
        </w:rPr>
        <w:t xml:space="preserve"> the military, political, legal, media sphere or other, condition and influence the interpreter performance, limiting his/her power of action</w:t>
      </w:r>
      <w:r>
        <w:rPr>
          <w:rFonts w:ascii="Times New Roman" w:eastAsia="Times New Roman" w:hAnsi="Times New Roman" w:cs="Times New Roman"/>
        </w:rPr>
        <w:t xml:space="preserve"> (Anderson 2002/1976)?</w:t>
      </w:r>
      <w:r>
        <w:rPr>
          <w:rFonts w:ascii="Times New Roman" w:eastAsia="Times New Roman" w:hAnsi="Times New Roman" w:cs="Times New Roman"/>
          <w:color w:val="00000A"/>
        </w:rPr>
        <w:t xml:space="preserve"> Are interpreters able to produce more or less divergent and non-normative behaviours, thus e</w:t>
      </w:r>
      <w:r>
        <w:rPr>
          <w:rFonts w:ascii="Times New Roman" w:eastAsia="Times New Roman" w:hAnsi="Times New Roman" w:cs="Times New Roman"/>
          <w:color w:val="00000A"/>
        </w:rPr>
        <w:t>mpowering themselves and those they are called to work for? And, if so, to what extent?  </w:t>
      </w:r>
    </w:p>
    <w:p w:rsidR="00211E5F" w:rsidRDefault="00211E5F">
      <w:pPr>
        <w:ind w:left="397" w:right="397"/>
        <w:jc w:val="both"/>
      </w:pPr>
    </w:p>
    <w:p w:rsidR="00211E5F" w:rsidRDefault="00A30083">
      <w:pPr>
        <w:spacing w:after="240"/>
        <w:jc w:val="both"/>
      </w:pPr>
      <w:r>
        <w:rPr>
          <w:rFonts w:ascii="Times New Roman" w:eastAsia="Times New Roman" w:hAnsi="Times New Roman" w:cs="Times New Roman"/>
        </w:rPr>
        <w:t xml:space="preserve">This quote begs a number of fundamental questions: </w:t>
      </w:r>
    </w:p>
    <w:p w:rsidR="00211E5F" w:rsidRDefault="00A30083">
      <w:pPr>
        <w:numPr>
          <w:ilvl w:val="0"/>
          <w:numId w:val="2"/>
        </w:numPr>
        <w:ind w:hanging="360"/>
        <w:contextualSpacing/>
        <w:jc w:val="both"/>
      </w:pPr>
      <w:r>
        <w:rPr>
          <w:rFonts w:ascii="Times New Roman" w:eastAsia="Times New Roman" w:hAnsi="Times New Roman" w:cs="Times New Roman"/>
        </w:rPr>
        <w:t xml:space="preserve">Who does the interpreter represent in such encounters? </w:t>
      </w:r>
    </w:p>
    <w:p w:rsidR="00211E5F" w:rsidRDefault="00A30083">
      <w:pPr>
        <w:numPr>
          <w:ilvl w:val="0"/>
          <w:numId w:val="2"/>
        </w:numPr>
        <w:ind w:hanging="360"/>
        <w:contextualSpacing/>
        <w:jc w:val="both"/>
      </w:pPr>
      <w:bookmarkStart w:id="2" w:name="_30j0zll" w:colFirst="0" w:colLast="0"/>
      <w:bookmarkEnd w:id="2"/>
      <w:r>
        <w:rPr>
          <w:rFonts w:ascii="Times New Roman" w:eastAsia="Times New Roman" w:hAnsi="Times New Roman" w:cs="Times New Roman"/>
        </w:rPr>
        <w:t>To what extent can intentionality be evinced in micro and</w:t>
      </w:r>
      <w:r>
        <w:rPr>
          <w:rFonts w:ascii="Times New Roman" w:eastAsia="Times New Roman" w:hAnsi="Times New Roman" w:cs="Times New Roman"/>
        </w:rPr>
        <w:t xml:space="preserve"> macro analyses? </w:t>
      </w:r>
    </w:p>
    <w:p w:rsidR="00211E5F" w:rsidRDefault="00A30083">
      <w:pPr>
        <w:numPr>
          <w:ilvl w:val="0"/>
          <w:numId w:val="2"/>
        </w:numPr>
        <w:ind w:hanging="360"/>
        <w:contextualSpacing/>
        <w:jc w:val="both"/>
      </w:pPr>
      <w:r>
        <w:rPr>
          <w:rFonts w:ascii="Times New Roman" w:eastAsia="Times New Roman" w:hAnsi="Times New Roman" w:cs="Times New Roman"/>
        </w:rPr>
        <w:t>Who is responsible for text creation and propagation, i.e. who owns texts?</w:t>
      </w:r>
    </w:p>
    <w:p w:rsidR="00211E5F" w:rsidRDefault="00211E5F">
      <w:pPr>
        <w:jc w:val="both"/>
        <w:rPr>
          <w:rFonts w:ascii="Times New Roman" w:eastAsia="Times New Roman" w:hAnsi="Times New Roman" w:cs="Times New Roman"/>
        </w:rPr>
      </w:pPr>
    </w:p>
    <w:p w:rsidR="00211E5F" w:rsidRDefault="00A30083">
      <w:pPr>
        <w:jc w:val="both"/>
      </w:pPr>
      <w:r>
        <w:rPr>
          <w:rFonts w:ascii="Times New Roman" w:eastAsia="Times New Roman" w:hAnsi="Times New Roman" w:cs="Times New Roman"/>
        </w:rPr>
        <w:t>In terms of power and ideology in interpreter-mediated settings, these are but a few of the many questions text ownership may raise.</w:t>
      </w:r>
      <w:r>
        <w:t xml:space="preserve"> </w:t>
      </w:r>
      <w:r>
        <w:rPr>
          <w:rFonts w:ascii="Times New Roman" w:eastAsia="Times New Roman" w:hAnsi="Times New Roman" w:cs="Times New Roman"/>
        </w:rPr>
        <w:t>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LARIM conference aims</w:t>
      </w:r>
      <w:r>
        <w:rPr>
          <w:rFonts w:ascii="Times New Roman" w:eastAsia="Times New Roman" w:hAnsi="Times New Roman" w:cs="Times New Roman"/>
        </w:rPr>
        <w:t xml:space="preserve"> to delve into the constructs of power and ideology seeking out studies that focus on evidence – both at a micro and macro level – of emerging trends in authentic data.</w:t>
      </w:r>
    </w:p>
    <w:p w:rsidR="00211E5F" w:rsidRDefault="00211E5F">
      <w:pPr>
        <w:jc w:val="both"/>
      </w:pPr>
    </w:p>
    <w:p w:rsidR="00211E5F" w:rsidRDefault="00A30083">
      <w:pPr>
        <w:spacing w:after="240"/>
        <w:jc w:val="both"/>
      </w:pPr>
      <w:r>
        <w:rPr>
          <w:rFonts w:ascii="Times New Roman" w:eastAsia="Times New Roman" w:hAnsi="Times New Roman" w:cs="Times New Roman"/>
        </w:rPr>
        <w:t xml:space="preserve">Power is one of the most complex concepts in the social and political sciences, partly because there are so many competing definitions, and partly because many key decisions are made behind closed </w:t>
      </w:r>
      <w:r>
        <w:rPr>
          <w:rFonts w:ascii="Times New Roman" w:eastAsia="Times New Roman" w:hAnsi="Times New Roman" w:cs="Times New Roman"/>
        </w:rPr>
        <w:lastRenderedPageBreak/>
        <w:t xml:space="preserve">doors, making for confidential settings. At the same time, </w:t>
      </w:r>
      <w:r>
        <w:rPr>
          <w:rFonts w:ascii="Times New Roman" w:eastAsia="Times New Roman" w:hAnsi="Times New Roman" w:cs="Times New Roman"/>
        </w:rPr>
        <w:t>the analysis of power is critical to our understanding the contexts in which we work. Examining the processes and structures of power leads us to develop knowledge of the forces that shape our organizations, institutions, relationships and, as a consequenc</w:t>
      </w:r>
      <w:r>
        <w:rPr>
          <w:rFonts w:ascii="Times New Roman" w:eastAsia="Times New Roman" w:hAnsi="Times New Roman" w:cs="Times New Roman"/>
        </w:rPr>
        <w:t>e, our own opportunities and experiences (Tolmach Lakoff 2000:24) both as professionals and as analysts.</w:t>
      </w:r>
    </w:p>
    <w:p w:rsidR="00211E5F" w:rsidRDefault="00A30083">
      <w:pPr>
        <w:spacing w:after="240"/>
        <w:jc w:val="both"/>
      </w:pPr>
      <w:r>
        <w:rPr>
          <w:rFonts w:ascii="Times New Roman" w:eastAsia="Times New Roman" w:hAnsi="Times New Roman" w:cs="Times New Roman"/>
        </w:rPr>
        <w:t>Ideology is closely linked to power in terms of making sense of a shared meaning within a specific context. To date there have been relatively few stud</w:t>
      </w:r>
      <w:r>
        <w:rPr>
          <w:rFonts w:ascii="Times New Roman" w:eastAsia="Times New Roman" w:hAnsi="Times New Roman" w:cs="Times New Roman"/>
        </w:rPr>
        <w:t xml:space="preserve">ies that have concentrated on power and ideology in Interpreting Studies (e.g. Beaton 2007; Calzada Pérez 1997, Katan e Straniero-Sergio 2003; Wallmach 2002, Vuorikoski 2004). </w:t>
      </w:r>
      <w:r>
        <w:t xml:space="preserve"> </w:t>
      </w:r>
    </w:p>
    <w:p w:rsidR="00211E5F" w:rsidRDefault="00A30083">
      <w:pPr>
        <w:spacing w:after="240"/>
        <w:jc w:val="both"/>
      </w:pPr>
      <w:r>
        <w:rPr>
          <w:rFonts w:ascii="Times New Roman" w:eastAsia="Times New Roman" w:hAnsi="Times New Roman" w:cs="Times New Roman"/>
        </w:rPr>
        <w:t>We espouse a wider view of ideology, which also encompasses hegemony (cf. Beat</w:t>
      </w:r>
      <w:r>
        <w:rPr>
          <w:rFonts w:ascii="Times New Roman" w:eastAsia="Times New Roman" w:hAnsi="Times New Roman" w:cs="Times New Roman"/>
        </w:rPr>
        <w:t>on 2007, Mason 1994, Fowler 1985) as “a set of beliefs and values which inform an individual’s or institution’s view of the world and assist their interpretation of events, facts, etc.” (Mason 1994: 25). In line with scholars operating in the field of Crit</w:t>
      </w:r>
      <w:r>
        <w:rPr>
          <w:rFonts w:ascii="Times New Roman" w:eastAsia="Times New Roman" w:hAnsi="Times New Roman" w:cs="Times New Roman"/>
        </w:rPr>
        <w:t>ical Discourse Analysis (CDA), such as Teun van Dijk (1998) and Ruth Wodak (2001) all language use can be construed, at some level, as ideological. Therefore, as users of language representing other people’s language use, interpreters are necessarily immer</w:t>
      </w:r>
      <w:r>
        <w:rPr>
          <w:rFonts w:ascii="Times New Roman" w:eastAsia="Times New Roman" w:hAnsi="Times New Roman" w:cs="Times New Roman"/>
        </w:rPr>
        <w:t xml:space="preserve">sed in ideology. The discipline of Interpreting Studies is challenged to examine its role and stance ideologically (Pöchhacker 2006). </w:t>
      </w:r>
    </w:p>
    <w:p w:rsidR="00211E5F" w:rsidRDefault="00A30083">
      <w:pPr>
        <w:ind w:right="397"/>
        <w:jc w:val="both"/>
      </w:pPr>
      <w:r>
        <w:rPr>
          <w:rFonts w:ascii="Times New Roman" w:eastAsia="Times New Roman" w:hAnsi="Times New Roman" w:cs="Times New Roman"/>
        </w:rPr>
        <w:t>Furthermore, in her chapter entitled “Interpreting and Ideology: Research Trends and Methods”, Anne Martin (2016: 225-244</w:t>
      </w:r>
      <w:r>
        <w:rPr>
          <w:rFonts w:ascii="Times New Roman" w:eastAsia="Times New Roman" w:hAnsi="Times New Roman" w:cs="Times New Roman"/>
        </w:rPr>
        <w:t xml:space="preserve">) has helped to lay the groundwork for a discussion on power and ideology and we here quote her work – where applicable – when listing the areas of interest for the conference. </w:t>
      </w:r>
    </w:p>
    <w:p w:rsidR="00211E5F" w:rsidRDefault="00211E5F">
      <w:pPr>
        <w:ind w:right="397"/>
        <w:jc w:val="both"/>
      </w:pPr>
    </w:p>
    <w:p w:rsidR="00211E5F" w:rsidRDefault="00A30083">
      <w:pPr>
        <w:spacing w:after="240"/>
        <w:jc w:val="both"/>
      </w:pPr>
      <w:r>
        <w:rPr>
          <w:rFonts w:ascii="Times New Roman" w:eastAsia="Times New Roman" w:hAnsi="Times New Roman" w:cs="Times New Roman"/>
        </w:rPr>
        <w:t>We particularly welcome abstracts that address the following topics:</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Interpre</w:t>
      </w:r>
      <w:r>
        <w:rPr>
          <w:rFonts w:ascii="Times New Roman" w:eastAsia="Times New Roman" w:hAnsi="Times New Roman" w:cs="Times New Roman"/>
        </w:rPr>
        <w:t>ter status at the service of a dominant ideology</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The ways in which the ideology of principals or speakers affects the interpreting process and content</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Prevalent discourse about the profession (i.e. professional narratives) and/or the influence of such disc</w:t>
      </w:r>
      <w:r>
        <w:rPr>
          <w:rFonts w:ascii="Times New Roman" w:eastAsia="Times New Roman" w:hAnsi="Times New Roman" w:cs="Times New Roman"/>
        </w:rPr>
        <w:t>ourse and ideology in interpreter training</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Power and power differential in community and court interpreting settings</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The interpersonal nature of interpreting in community and court interpreting setting which may lead to ethical dilemmas for the interpreter, “who frequently have to take uncomfortable decisions of an ideological nature, mostly pertaining to the limits of t</w:t>
      </w:r>
      <w:r>
        <w:rPr>
          <w:rFonts w:ascii="Times New Roman" w:eastAsia="Times New Roman" w:hAnsi="Times New Roman" w:cs="Times New Roman"/>
        </w:rPr>
        <w:t>heir role” (Martin 2016: 230).</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Daily practice of community and court interpreters seen as a “clash between real life and the idealized role prescriptions of invisibility and impartiality become most obvious” (</w:t>
      </w:r>
      <w:r>
        <w:rPr>
          <w:rFonts w:ascii="Times New Roman" w:eastAsia="Times New Roman" w:hAnsi="Times New Roman" w:cs="Times New Roman"/>
          <w:i/>
        </w:rPr>
        <w:t>ibid.</w:t>
      </w:r>
      <w:r>
        <w:rPr>
          <w:rFonts w:ascii="Times New Roman" w:eastAsia="Times New Roman" w:hAnsi="Times New Roman" w:cs="Times New Roman"/>
        </w:rPr>
        <w:t>).</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Directionality and language direction i</w:t>
      </w:r>
      <w:r>
        <w:rPr>
          <w:rFonts w:ascii="Times New Roman" w:eastAsia="Times New Roman" w:hAnsi="Times New Roman" w:cs="Times New Roman"/>
        </w:rPr>
        <w:t>n conference interpreting with ideological connotations, e.g. marked difference between Western Europe and Soviet Bloc countries until the fall of the Iron Curtain in 1991.</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Interpreting effected in armed conflict settings.</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Interpreting and the construction</w:t>
      </w:r>
      <w:r>
        <w:rPr>
          <w:rFonts w:ascii="Times New Roman" w:eastAsia="Times New Roman" w:hAnsi="Times New Roman" w:cs="Times New Roman"/>
        </w:rPr>
        <w:t xml:space="preserve"> of national images.</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Ideological clashes interpreters encounter.</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Discourse, power, media and interpreting.</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Interpreting and gender issues.</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Interpreting and LGBT issues.</w:t>
      </w:r>
    </w:p>
    <w:p w:rsidR="00211E5F" w:rsidRDefault="00A30083">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color w:val="1D1D1D"/>
        </w:rPr>
        <w:t>CDA-informed corpus-based studies of interpreting.</w:t>
      </w:r>
    </w:p>
    <w:p w:rsidR="00211E5F" w:rsidRDefault="00211E5F">
      <w:pPr>
        <w:ind w:left="720"/>
        <w:jc w:val="both"/>
      </w:pPr>
    </w:p>
    <w:p w:rsidR="00211E5F" w:rsidRDefault="00A30083">
      <w:pPr>
        <w:spacing w:after="240"/>
        <w:jc w:val="both"/>
        <w:rPr>
          <w:rFonts w:ascii="Times New Roman" w:eastAsia="Times New Roman" w:hAnsi="Times New Roman" w:cs="Times New Roman"/>
        </w:rPr>
      </w:pPr>
      <w:r>
        <w:rPr>
          <w:rFonts w:ascii="Times New Roman" w:eastAsia="Times New Roman" w:hAnsi="Times New Roman" w:cs="Times New Roman"/>
        </w:rPr>
        <w:t>Contributions based on authentic da</w:t>
      </w:r>
      <w:r>
        <w:rPr>
          <w:rFonts w:ascii="Times New Roman" w:eastAsia="Times New Roman" w:hAnsi="Times New Roman" w:cs="Times New Roman"/>
        </w:rPr>
        <w:t xml:space="preserve">ta collected in a variety of contexts (conference, court, healthcare, pedagogical, inter alia) are sought from analysts who adopt varied tools and approaches </w:t>
      </w:r>
      <w:r>
        <w:rPr>
          <w:rFonts w:ascii="Times New Roman" w:eastAsia="Times New Roman" w:hAnsi="Times New Roman" w:cs="Times New Roman"/>
        </w:rPr>
        <w:lastRenderedPageBreak/>
        <w:t>including, but not restricted to, the following: Conversation Analysis, Critical Discourse Analysi</w:t>
      </w:r>
      <w:r>
        <w:rPr>
          <w:rFonts w:ascii="Times New Roman" w:eastAsia="Times New Roman" w:hAnsi="Times New Roman" w:cs="Times New Roman"/>
        </w:rPr>
        <w:t xml:space="preserve">s, Corpus-based studies, Sociological approaches, Pragmatic approaches. </w:t>
      </w:r>
    </w:p>
    <w:p w:rsidR="00211E5F" w:rsidRDefault="00A30083">
      <w:pPr>
        <w:spacing w:before="280"/>
        <w:jc w:val="both"/>
        <w:rPr>
          <w:b/>
        </w:rPr>
      </w:pPr>
      <w:r>
        <w:rPr>
          <w:rFonts w:ascii="Times New Roman" w:eastAsia="Times New Roman" w:hAnsi="Times New Roman" w:cs="Times New Roman"/>
          <w:b/>
        </w:rPr>
        <w:t xml:space="preserve">References </w:t>
      </w:r>
    </w:p>
    <w:p w:rsidR="00211E5F" w:rsidRDefault="00A30083">
      <w:pPr>
        <w:ind w:left="285"/>
        <w:jc w:val="both"/>
        <w:rPr>
          <w:rFonts w:ascii="Times New Roman" w:eastAsia="Times New Roman" w:hAnsi="Times New Roman" w:cs="Times New Roman"/>
        </w:rPr>
      </w:pPr>
      <w:r>
        <w:rPr>
          <w:rFonts w:ascii="Times New Roman" w:eastAsia="Times New Roman" w:hAnsi="Times New Roman" w:cs="Times New Roman"/>
        </w:rPr>
        <w:t xml:space="preserve">Anderson, Bruce (2002) Perspectives on the role of interpreter. In F. Pöchhacker and M. Shlesinger (eds.) </w:t>
      </w:r>
      <w:r>
        <w:rPr>
          <w:rFonts w:ascii="Times New Roman" w:eastAsia="Times New Roman" w:hAnsi="Times New Roman" w:cs="Times New Roman"/>
          <w:i/>
        </w:rPr>
        <w:t>The Interpreting Studies Reader</w:t>
      </w:r>
      <w:r>
        <w:rPr>
          <w:rFonts w:ascii="Times New Roman" w:eastAsia="Times New Roman" w:hAnsi="Times New Roman" w:cs="Times New Roman"/>
        </w:rPr>
        <w:t>. London/New York: Routledge, 208-218.</w:t>
      </w:r>
    </w:p>
    <w:p w:rsidR="00211E5F" w:rsidRDefault="00A30083">
      <w:pPr>
        <w:ind w:left="285"/>
        <w:jc w:val="both"/>
        <w:rPr>
          <w:rFonts w:ascii="Times New Roman" w:eastAsia="Times New Roman" w:hAnsi="Times New Roman" w:cs="Times New Roman"/>
        </w:rPr>
      </w:pPr>
      <w:r>
        <w:rPr>
          <w:rFonts w:ascii="Times New Roman" w:eastAsia="Times New Roman" w:hAnsi="Times New Roman" w:cs="Times New Roman"/>
        </w:rPr>
        <w:t xml:space="preserve">Beaton, Morvan (2007) Interpreted ideologies in institutional discourse. The case of the European Parliament. </w:t>
      </w:r>
      <w:r>
        <w:rPr>
          <w:rFonts w:ascii="Times New Roman" w:eastAsia="Times New Roman" w:hAnsi="Times New Roman" w:cs="Times New Roman"/>
          <w:i/>
        </w:rPr>
        <w:t>The Translator</w:t>
      </w:r>
      <w:r>
        <w:rPr>
          <w:rFonts w:ascii="Times New Roman" w:eastAsia="Times New Roman" w:hAnsi="Times New Roman" w:cs="Times New Roman"/>
        </w:rPr>
        <w:t xml:space="preserve"> 13(2): 271–296.</w:t>
      </w:r>
    </w:p>
    <w:p w:rsidR="00211E5F" w:rsidRDefault="00A30083">
      <w:pPr>
        <w:ind w:left="285"/>
        <w:jc w:val="both"/>
        <w:rPr>
          <w:rFonts w:ascii="Times New Roman" w:eastAsia="Times New Roman" w:hAnsi="Times New Roman" w:cs="Times New Roman"/>
        </w:rPr>
      </w:pPr>
      <w:r>
        <w:rPr>
          <w:rFonts w:ascii="Times New Roman" w:eastAsia="Times New Roman" w:hAnsi="Times New Roman" w:cs="Times New Roman"/>
        </w:rPr>
        <w:t xml:space="preserve">Calzada Pérez, Maria (1997) </w:t>
      </w:r>
      <w:r>
        <w:rPr>
          <w:rFonts w:ascii="Times New Roman" w:eastAsia="Times New Roman" w:hAnsi="Times New Roman" w:cs="Times New Roman"/>
          <w:i/>
        </w:rPr>
        <w:t>Transitivity in Translation. The Interdependence</w:t>
      </w:r>
      <w:r>
        <w:rPr>
          <w:rFonts w:ascii="Times New Roman" w:eastAsia="Times New Roman" w:hAnsi="Times New Roman" w:cs="Times New Roman"/>
          <w:i/>
        </w:rPr>
        <w:t xml:space="preserve"> of Texture and Context. A Contrastive Study of Original and Translated Speeches in English and Spanish from the European Parliament</w:t>
      </w:r>
      <w:r>
        <w:rPr>
          <w:rFonts w:ascii="Times New Roman" w:eastAsia="Times New Roman" w:hAnsi="Times New Roman" w:cs="Times New Roman"/>
        </w:rPr>
        <w:t>. Unpublished PhD Thesis, Edinburgh: Heriot-Watt University.</w:t>
      </w:r>
    </w:p>
    <w:p w:rsidR="00211E5F" w:rsidRDefault="00A30083">
      <w:pPr>
        <w:ind w:left="285"/>
        <w:jc w:val="both"/>
        <w:rPr>
          <w:rFonts w:ascii="Times New Roman" w:eastAsia="Times New Roman" w:hAnsi="Times New Roman" w:cs="Times New Roman"/>
        </w:rPr>
      </w:pPr>
      <w:r>
        <w:rPr>
          <w:rFonts w:ascii="Times New Roman" w:eastAsia="Times New Roman" w:hAnsi="Times New Roman" w:cs="Times New Roman"/>
        </w:rPr>
        <w:t xml:space="preserve">Fowler, Roger (1985) Power. In T. A. Van Dijk (ed.) </w:t>
      </w:r>
      <w:r>
        <w:rPr>
          <w:rFonts w:ascii="Times New Roman" w:eastAsia="Times New Roman" w:hAnsi="Times New Roman" w:cs="Times New Roman"/>
          <w:i/>
        </w:rPr>
        <w:t>Handbook of</w:t>
      </w:r>
      <w:r>
        <w:rPr>
          <w:rFonts w:ascii="Times New Roman" w:eastAsia="Times New Roman" w:hAnsi="Times New Roman" w:cs="Times New Roman"/>
          <w:i/>
        </w:rPr>
        <w:t xml:space="preserve"> Discourse Analysis</w:t>
      </w:r>
      <w:r>
        <w:rPr>
          <w:rFonts w:ascii="Times New Roman" w:eastAsia="Times New Roman" w:hAnsi="Times New Roman" w:cs="Times New Roman"/>
        </w:rPr>
        <w:t>. London: Academic Press, 61–82.</w:t>
      </w:r>
    </w:p>
    <w:p w:rsidR="00211E5F" w:rsidRDefault="00A30083">
      <w:pPr>
        <w:ind w:left="285"/>
        <w:jc w:val="both"/>
        <w:rPr>
          <w:rFonts w:ascii="Times New Roman" w:eastAsia="Times New Roman" w:hAnsi="Times New Roman" w:cs="Times New Roman"/>
        </w:rPr>
      </w:pPr>
      <w:r>
        <w:rPr>
          <w:rFonts w:ascii="Times New Roman" w:eastAsia="Times New Roman" w:hAnsi="Times New Roman" w:cs="Times New Roman"/>
        </w:rPr>
        <w:t xml:space="preserve">Katan, David and Straniero-Sergio, Francesco (2003) Submerged Ideologies in Media Interpreting. In M. Calzada Pérez (ed.) </w:t>
      </w:r>
      <w:r>
        <w:rPr>
          <w:rFonts w:ascii="Times New Roman" w:eastAsia="Times New Roman" w:hAnsi="Times New Roman" w:cs="Times New Roman"/>
          <w:i/>
        </w:rPr>
        <w:t>Apropos of Ideology: Translation Studies on Ideology, Ideology in Translation Stud</w:t>
      </w:r>
      <w:r>
        <w:rPr>
          <w:rFonts w:ascii="Times New Roman" w:eastAsia="Times New Roman" w:hAnsi="Times New Roman" w:cs="Times New Roman"/>
          <w:i/>
        </w:rPr>
        <w:t>ies</w:t>
      </w:r>
      <w:r>
        <w:rPr>
          <w:rFonts w:ascii="Times New Roman" w:eastAsia="Times New Roman" w:hAnsi="Times New Roman" w:cs="Times New Roman"/>
        </w:rPr>
        <w:t>. Manchester: St. Jerome, 131-144.</w:t>
      </w:r>
    </w:p>
    <w:p w:rsidR="00211E5F" w:rsidRDefault="00A30083">
      <w:pPr>
        <w:ind w:left="284"/>
        <w:jc w:val="both"/>
      </w:pPr>
      <w:r>
        <w:rPr>
          <w:rFonts w:ascii="Times New Roman" w:eastAsia="Times New Roman" w:hAnsi="Times New Roman" w:cs="Times New Roman"/>
        </w:rPr>
        <w:t xml:space="preserve">Martin, Anne (2016) Interpreting and Ideology: Research trends and methods. In C. Bendazzoli and C. Monacelli (eds.) </w:t>
      </w:r>
      <w:r>
        <w:rPr>
          <w:rFonts w:ascii="Times New Roman" w:eastAsia="Times New Roman" w:hAnsi="Times New Roman" w:cs="Times New Roman"/>
          <w:i/>
        </w:rPr>
        <w:t>Addressing Methodological Challenges in Interpreting Studies Research</w:t>
      </w:r>
      <w:r>
        <w:rPr>
          <w:rFonts w:ascii="Times New Roman" w:eastAsia="Times New Roman" w:hAnsi="Times New Roman" w:cs="Times New Roman"/>
        </w:rPr>
        <w:t>. Newcastle upon Tyne: Cambridge</w:t>
      </w:r>
      <w:r>
        <w:rPr>
          <w:rFonts w:ascii="Times New Roman" w:eastAsia="Times New Roman" w:hAnsi="Times New Roman" w:cs="Times New Roman"/>
        </w:rPr>
        <w:t xml:space="preserve"> Scholars Publishing, 225-244.</w:t>
      </w:r>
    </w:p>
    <w:p w:rsidR="00211E5F" w:rsidRDefault="00A30083">
      <w:pPr>
        <w:ind w:left="284"/>
        <w:jc w:val="both"/>
      </w:pPr>
      <w:r>
        <w:rPr>
          <w:rFonts w:ascii="Times New Roman" w:eastAsia="Times New Roman" w:hAnsi="Times New Roman" w:cs="Times New Roman"/>
        </w:rPr>
        <w:t xml:space="preserve">Mason, Ian (1994) Discourse, ideology and translation. In R. de Beaugrande, A. Sunnaq &amp; M. Heliel (eds.) </w:t>
      </w:r>
      <w:r>
        <w:rPr>
          <w:rFonts w:ascii="Times New Roman" w:eastAsia="Times New Roman" w:hAnsi="Times New Roman" w:cs="Times New Roman"/>
          <w:i/>
        </w:rPr>
        <w:t>Language, Discourse and Translation in the West and Middle East.</w:t>
      </w:r>
      <w:r>
        <w:rPr>
          <w:rFonts w:ascii="Times New Roman" w:eastAsia="Times New Roman" w:hAnsi="Times New Roman" w:cs="Times New Roman"/>
        </w:rPr>
        <w:t xml:space="preserve"> Amsterdam/Philadelphia: John Benjamins, 23–34.</w:t>
      </w:r>
    </w:p>
    <w:p w:rsidR="00211E5F" w:rsidRDefault="00A30083">
      <w:pPr>
        <w:ind w:left="284"/>
        <w:jc w:val="both"/>
      </w:pPr>
      <w:r>
        <w:rPr>
          <w:rFonts w:ascii="Times New Roman" w:eastAsia="Times New Roman" w:hAnsi="Times New Roman" w:cs="Times New Roman"/>
        </w:rPr>
        <w:t>Pöchhack</w:t>
      </w:r>
      <w:r>
        <w:rPr>
          <w:rFonts w:ascii="Times New Roman" w:eastAsia="Times New Roman" w:hAnsi="Times New Roman" w:cs="Times New Roman"/>
        </w:rPr>
        <w:t xml:space="preserve">er, Franz (2006) </w:t>
      </w:r>
      <w:hyperlink r:id="rId7">
        <w:r>
          <w:rPr>
            <w:rFonts w:ascii="Times New Roman" w:eastAsia="Times New Roman" w:hAnsi="Times New Roman" w:cs="Times New Roman"/>
          </w:rPr>
          <w:t>Interpreters and Ideology</w:t>
        </w:r>
      </w:hyperlink>
      <w:r>
        <w:rPr>
          <w:rFonts w:ascii="Times New Roman" w:eastAsia="Times New Roman" w:hAnsi="Times New Roman" w:cs="Times New Roman"/>
        </w:rPr>
        <w:t>: </w:t>
      </w:r>
      <w:hyperlink r:id="rId8">
        <w:r>
          <w:rPr>
            <w:rFonts w:ascii="Times New Roman" w:eastAsia="Times New Roman" w:hAnsi="Times New Roman" w:cs="Times New Roman"/>
          </w:rPr>
          <w:t>From ‘Between’ to ‘Within’</w:t>
        </w:r>
      </w:hyperlink>
      <w:r>
        <w:rPr>
          <w:rFonts w:ascii="Times New Roman" w:eastAsia="Times New Roman" w:hAnsi="Times New Roman" w:cs="Times New Roman"/>
        </w:rPr>
        <w:t xml:space="preserve">. In N. Ben-Ari (ed.) </w:t>
      </w:r>
      <w:r>
        <w:rPr>
          <w:rFonts w:ascii="Times New Roman" w:eastAsia="Times New Roman" w:hAnsi="Times New Roman" w:cs="Times New Roman"/>
          <w:i/>
        </w:rPr>
        <w:t xml:space="preserve">Trans </w:t>
      </w:r>
      <w:r>
        <w:rPr>
          <w:rFonts w:ascii="Times New Roman" w:eastAsia="Times New Roman" w:hAnsi="Times New Roman" w:cs="Times New Roman"/>
        </w:rPr>
        <w:t>Internet-Zeits</w:t>
      </w:r>
      <w:r>
        <w:rPr>
          <w:rFonts w:ascii="Times New Roman" w:eastAsia="Times New Roman" w:hAnsi="Times New Roman" w:cs="Times New Roman"/>
        </w:rPr>
        <w:t xml:space="preserve">chrift für Kulturwissenschaften. No. 16 (accessed 17 February 2017) </w:t>
      </w:r>
      <w:hyperlink r:id="rId9">
        <w:r>
          <w:rPr>
            <w:rFonts w:ascii="Times New Roman" w:eastAsia="Times New Roman" w:hAnsi="Times New Roman" w:cs="Times New Roman"/>
            <w:color w:val="0000FF"/>
            <w:u w:val="single"/>
          </w:rPr>
          <w:t>http://www.inst.at/trans/16Nr/09_4/poechhacker16.htm</w:t>
        </w:r>
      </w:hyperlink>
    </w:p>
    <w:p w:rsidR="00211E5F" w:rsidRDefault="00A30083">
      <w:pPr>
        <w:ind w:left="285"/>
        <w:jc w:val="both"/>
      </w:pPr>
      <w:r>
        <w:rPr>
          <w:rFonts w:ascii="Times New Roman" w:eastAsia="Times New Roman" w:hAnsi="Times New Roman" w:cs="Times New Roman"/>
        </w:rPr>
        <w:t xml:space="preserve">Tolmach Lakoff, Robin (2000) </w:t>
      </w:r>
      <w:r>
        <w:rPr>
          <w:rFonts w:ascii="Times New Roman" w:eastAsia="Times New Roman" w:hAnsi="Times New Roman" w:cs="Times New Roman"/>
          <w:i/>
        </w:rPr>
        <w:t>The Language War</w:t>
      </w:r>
      <w:r>
        <w:rPr>
          <w:rFonts w:ascii="Times New Roman" w:eastAsia="Times New Roman" w:hAnsi="Times New Roman" w:cs="Times New Roman"/>
        </w:rPr>
        <w:t>. Berkeley/Los Angeles: University of California Press.</w:t>
      </w:r>
    </w:p>
    <w:p w:rsidR="00211E5F" w:rsidRDefault="00A30083">
      <w:pPr>
        <w:ind w:left="285"/>
        <w:jc w:val="both"/>
        <w:rPr>
          <w:rFonts w:ascii="Times New Roman" w:eastAsia="Times New Roman" w:hAnsi="Times New Roman" w:cs="Times New Roman"/>
        </w:rPr>
      </w:pPr>
      <w:r>
        <w:rPr>
          <w:rFonts w:ascii="Times New Roman" w:eastAsia="Times New Roman" w:hAnsi="Times New Roman" w:cs="Times New Roman"/>
        </w:rPr>
        <w:t>van Dijk, Teun A. (1998) </w:t>
      </w:r>
      <w:r>
        <w:rPr>
          <w:rFonts w:ascii="Times New Roman" w:eastAsia="Times New Roman" w:hAnsi="Times New Roman" w:cs="Times New Roman"/>
          <w:i/>
        </w:rPr>
        <w:t>Ideology: A Multidisciplinary Approach</w:t>
      </w:r>
      <w:r>
        <w:rPr>
          <w:rFonts w:ascii="Times New Roman" w:eastAsia="Times New Roman" w:hAnsi="Times New Roman" w:cs="Times New Roman"/>
        </w:rPr>
        <w:t>. London: Sage.</w:t>
      </w:r>
    </w:p>
    <w:p w:rsidR="00211E5F" w:rsidRDefault="00A30083">
      <w:pPr>
        <w:ind w:left="285"/>
        <w:jc w:val="both"/>
        <w:rPr>
          <w:rFonts w:ascii="Times New Roman" w:eastAsia="Times New Roman" w:hAnsi="Times New Roman" w:cs="Times New Roman"/>
        </w:rPr>
      </w:pPr>
      <w:r>
        <w:rPr>
          <w:rFonts w:ascii="Times New Roman" w:eastAsia="Times New Roman" w:hAnsi="Times New Roman" w:cs="Times New Roman"/>
        </w:rPr>
        <w:t xml:space="preserve">Vuorikoski, Anna-Riitta (2004) </w:t>
      </w:r>
      <w:r>
        <w:rPr>
          <w:rFonts w:ascii="Times New Roman" w:eastAsia="Times New Roman" w:hAnsi="Times New Roman" w:cs="Times New Roman"/>
          <w:i/>
        </w:rPr>
        <w:t>A Voice of Its Citizens or a Modern Tower of Babel? The Quality of Interpreting as a Funct</w:t>
      </w:r>
      <w:r>
        <w:rPr>
          <w:rFonts w:ascii="Times New Roman" w:eastAsia="Times New Roman" w:hAnsi="Times New Roman" w:cs="Times New Roman"/>
          <w:i/>
        </w:rPr>
        <w:t xml:space="preserve">ion of Political Rhetoric in the European Parliament. </w:t>
      </w:r>
      <w:r>
        <w:rPr>
          <w:rFonts w:ascii="Times New Roman" w:eastAsia="Times New Roman" w:hAnsi="Times New Roman" w:cs="Times New Roman"/>
        </w:rPr>
        <w:t>Unpublished PhD Thesis, Tampere: Acta Universitatis Tamperensis 317.</w:t>
      </w:r>
    </w:p>
    <w:p w:rsidR="00211E5F" w:rsidRDefault="00A30083">
      <w:pPr>
        <w:ind w:left="285"/>
        <w:jc w:val="both"/>
        <w:rPr>
          <w:rFonts w:ascii="Times New Roman" w:eastAsia="Times New Roman" w:hAnsi="Times New Roman" w:cs="Times New Roman"/>
        </w:rPr>
      </w:pPr>
      <w:r>
        <w:rPr>
          <w:rFonts w:ascii="Times New Roman" w:eastAsia="Times New Roman" w:hAnsi="Times New Roman" w:cs="Times New Roman"/>
        </w:rPr>
        <w:t>Wallmach, Kim (2002)”Seizing the Surge of Language by Its Soft, Bare Skull”: Simultaneous Interpreting, the Truth Commission and “Cou</w:t>
      </w:r>
      <w:r>
        <w:rPr>
          <w:rFonts w:ascii="Times New Roman" w:eastAsia="Times New Roman" w:hAnsi="Times New Roman" w:cs="Times New Roman"/>
        </w:rPr>
        <w:t xml:space="preserve">ntry of My Skull”. In </w:t>
      </w:r>
      <w:r>
        <w:rPr>
          <w:rFonts w:ascii="Times New Roman" w:eastAsia="Times New Roman" w:hAnsi="Times New Roman" w:cs="Times New Roman"/>
          <w:i/>
        </w:rPr>
        <w:t>Current Writing</w:t>
      </w:r>
      <w:r>
        <w:rPr>
          <w:rFonts w:ascii="Times New Roman" w:eastAsia="Times New Roman" w:hAnsi="Times New Roman" w:cs="Times New Roman"/>
        </w:rPr>
        <w:t xml:space="preserve"> 14(2): 63-82.</w:t>
      </w:r>
    </w:p>
    <w:p w:rsidR="00211E5F" w:rsidRDefault="00A30083">
      <w:pPr>
        <w:ind w:left="285"/>
        <w:jc w:val="both"/>
        <w:rPr>
          <w:rFonts w:ascii="Times New Roman" w:eastAsia="Times New Roman" w:hAnsi="Times New Roman" w:cs="Times New Roman"/>
        </w:rPr>
      </w:pPr>
      <w:r>
        <w:rPr>
          <w:rFonts w:ascii="Times New Roman" w:eastAsia="Times New Roman" w:hAnsi="Times New Roman" w:cs="Times New Roman"/>
        </w:rPr>
        <w:t>Wodak, Ruth (2001) What CDA is About - a Summary of Its History, Important Concepts and Its Developments. In R Wodak &amp; M. Meyer (eds.) </w:t>
      </w:r>
      <w:r>
        <w:rPr>
          <w:rFonts w:ascii="Times New Roman" w:eastAsia="Times New Roman" w:hAnsi="Times New Roman" w:cs="Times New Roman"/>
          <w:i/>
        </w:rPr>
        <w:t>Methods of Critical Discourse Analysis</w:t>
      </w:r>
      <w:r>
        <w:rPr>
          <w:rFonts w:ascii="Times New Roman" w:eastAsia="Times New Roman" w:hAnsi="Times New Roman" w:cs="Times New Roman"/>
        </w:rPr>
        <w:t>. London/Thousand Oaks/New Delh</w:t>
      </w:r>
      <w:r>
        <w:rPr>
          <w:rFonts w:ascii="Times New Roman" w:eastAsia="Times New Roman" w:hAnsi="Times New Roman" w:cs="Times New Roman"/>
        </w:rPr>
        <w:t>i: Sage, 1-13.</w:t>
      </w:r>
    </w:p>
    <w:p w:rsidR="00211E5F" w:rsidRDefault="00211E5F">
      <w:pPr>
        <w:ind w:left="397" w:right="397"/>
        <w:jc w:val="both"/>
        <w:rPr>
          <w:rFonts w:ascii="Times New Roman" w:eastAsia="Times New Roman" w:hAnsi="Times New Roman" w:cs="Times New Roman"/>
        </w:rPr>
      </w:pPr>
    </w:p>
    <w:p w:rsidR="00211E5F" w:rsidRDefault="00A30083">
      <w:pPr>
        <w:jc w:val="both"/>
      </w:pPr>
      <w:r>
        <w:rPr>
          <w:rFonts w:ascii="Times New Roman" w:eastAsia="Times New Roman" w:hAnsi="Times New Roman" w:cs="Times New Roman"/>
          <w:b/>
        </w:rPr>
        <w:t>Key dates</w:t>
      </w:r>
    </w:p>
    <w:p w:rsidR="00211E5F" w:rsidRDefault="00A30083">
      <w:pPr>
        <w:jc w:val="both"/>
        <w:rPr>
          <w:rFonts w:ascii="MS Mincho" w:eastAsia="MS Mincho" w:hAnsi="MS Mincho" w:cs="MS Mincho"/>
        </w:rPr>
      </w:pPr>
      <w:r>
        <w:rPr>
          <w:rFonts w:ascii="Times New Roman" w:eastAsia="Times New Roman" w:hAnsi="Times New Roman" w:cs="Times New Roman"/>
        </w:rPr>
        <w:t xml:space="preserve">Proposals for 20-minute papers should be submitted to </w:t>
      </w:r>
      <w:r>
        <w:rPr>
          <w:rFonts w:ascii="Times New Roman" w:eastAsia="Times New Roman" w:hAnsi="Times New Roman" w:cs="Times New Roman"/>
          <w:color w:val="103CC0"/>
        </w:rPr>
        <w:t xml:space="preserve">larim@unint.eu </w:t>
      </w:r>
      <w:r>
        <w:rPr>
          <w:rFonts w:ascii="Times New Roman" w:eastAsia="Times New Roman" w:hAnsi="Times New Roman" w:cs="Times New Roman"/>
        </w:rPr>
        <w:t>by 15 May 2017.</w:t>
      </w:r>
    </w:p>
    <w:p w:rsidR="00211E5F" w:rsidRDefault="00A30083">
      <w:pPr>
        <w:jc w:val="both"/>
      </w:pPr>
      <w:r>
        <w:rPr>
          <w:rFonts w:ascii="Times New Roman" w:eastAsia="Times New Roman" w:hAnsi="Times New Roman" w:cs="Times New Roman"/>
        </w:rPr>
        <w:t>The Scientific Committee will evaluate submissions and reply by 15 July 2017.</w:t>
      </w:r>
    </w:p>
    <w:p w:rsidR="00211E5F" w:rsidRDefault="00A3008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Call for Papers First Circular 15 March 2017</w:t>
      </w:r>
    </w:p>
    <w:p w:rsidR="00211E5F" w:rsidRDefault="00A3008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Call for Papers Second</w:t>
      </w:r>
      <w:r>
        <w:rPr>
          <w:rFonts w:ascii="Times New Roman" w:eastAsia="Times New Roman" w:hAnsi="Times New Roman" w:cs="Times New Roman"/>
        </w:rPr>
        <w:t xml:space="preserve"> Circular 15 April 2017</w:t>
      </w:r>
    </w:p>
    <w:p w:rsidR="00211E5F" w:rsidRDefault="00A3008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Abstracts due 15 May 2017</w:t>
      </w:r>
    </w:p>
    <w:p w:rsidR="00211E5F" w:rsidRDefault="00A3008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Responses 15 July 2017</w:t>
      </w:r>
    </w:p>
    <w:p w:rsidR="00211E5F" w:rsidRDefault="00211E5F">
      <w:pPr>
        <w:jc w:val="both"/>
      </w:pPr>
    </w:p>
    <w:p w:rsidR="00211E5F" w:rsidRDefault="00211E5F">
      <w:pPr>
        <w:jc w:val="both"/>
      </w:pPr>
    </w:p>
    <w:p w:rsidR="00211E5F" w:rsidRDefault="00A30083">
      <w:pPr>
        <w:jc w:val="both"/>
      </w:pPr>
      <w:r>
        <w:rPr>
          <w:rFonts w:ascii="Times New Roman" w:eastAsia="Times New Roman" w:hAnsi="Times New Roman" w:cs="Times New Roman"/>
          <w:b/>
        </w:rPr>
        <w:t xml:space="preserve">Abstract submission guidelines </w:t>
      </w:r>
    </w:p>
    <w:p w:rsidR="00211E5F" w:rsidRDefault="00A30083">
      <w:pPr>
        <w:spacing w:after="240"/>
        <w:jc w:val="both"/>
      </w:pPr>
      <w:r>
        <w:rPr>
          <w:rFonts w:ascii="Times New Roman" w:eastAsia="Times New Roman" w:hAnsi="Times New Roman" w:cs="Times New Roman"/>
        </w:rPr>
        <w:t>Abstracts of approximately 300 words (excluding points 1, 2 and 8 below) should be sent as doc, .docx (MS Word 2003 or 2007) or .txt files. They should be structured as follows:</w:t>
      </w:r>
    </w:p>
    <w:p w:rsidR="00211E5F" w:rsidRDefault="00A30083">
      <w:pPr>
        <w:jc w:val="both"/>
      </w:pPr>
      <w:r>
        <w:rPr>
          <w:rFonts w:ascii="Times New Roman" w:eastAsia="Times New Roman" w:hAnsi="Times New Roman" w:cs="Times New Roman"/>
        </w:rPr>
        <w:lastRenderedPageBreak/>
        <w:t>1. Presenter’s name and affiliation</w:t>
      </w:r>
    </w:p>
    <w:p w:rsidR="00211E5F" w:rsidRDefault="00A30083">
      <w:pPr>
        <w:jc w:val="both"/>
      </w:pPr>
      <w:r>
        <w:rPr>
          <w:rFonts w:ascii="Times New Roman" w:eastAsia="Times New Roman" w:hAnsi="Times New Roman" w:cs="Times New Roman"/>
        </w:rPr>
        <w:t xml:space="preserve">2. Short bio </w:t>
      </w:r>
    </w:p>
    <w:p w:rsidR="00211E5F" w:rsidRDefault="00A30083">
      <w:pPr>
        <w:jc w:val="both"/>
      </w:pPr>
      <w:r>
        <w:rPr>
          <w:rFonts w:ascii="Times New Roman" w:eastAsia="Times New Roman" w:hAnsi="Times New Roman" w:cs="Times New Roman"/>
        </w:rPr>
        <w:t>3. Title</w:t>
      </w:r>
    </w:p>
    <w:p w:rsidR="00211E5F" w:rsidRDefault="00A30083">
      <w:pPr>
        <w:jc w:val="both"/>
      </w:pPr>
      <w:r>
        <w:rPr>
          <w:rFonts w:ascii="Times New Roman" w:eastAsia="Times New Roman" w:hAnsi="Times New Roman" w:cs="Times New Roman"/>
        </w:rPr>
        <w:t>4. 4-5 keywords</w:t>
      </w:r>
    </w:p>
    <w:p w:rsidR="00211E5F" w:rsidRDefault="00A30083">
      <w:pPr>
        <w:jc w:val="both"/>
      </w:pPr>
      <w:r>
        <w:rPr>
          <w:rFonts w:ascii="Times New Roman" w:eastAsia="Times New Roman" w:hAnsi="Times New Roman" w:cs="Times New Roman"/>
        </w:rPr>
        <w:t xml:space="preserve">5. </w:t>
      </w:r>
      <w:r>
        <w:rPr>
          <w:rFonts w:ascii="Times New Roman" w:eastAsia="Times New Roman" w:hAnsi="Times New Roman" w:cs="Times New Roman"/>
        </w:rPr>
        <w:t>Research area and focus</w:t>
      </w:r>
    </w:p>
    <w:p w:rsidR="00211E5F" w:rsidRDefault="00A30083">
      <w:pPr>
        <w:jc w:val="both"/>
      </w:pPr>
      <w:r>
        <w:rPr>
          <w:rFonts w:ascii="Times New Roman" w:eastAsia="Times New Roman" w:hAnsi="Times New Roman" w:cs="Times New Roman"/>
        </w:rPr>
        <w:t>6. Research methodology and objectives</w:t>
      </w:r>
    </w:p>
    <w:p w:rsidR="00211E5F" w:rsidRDefault="00A30083">
      <w:pPr>
        <w:jc w:val="both"/>
      </w:pPr>
      <w:r>
        <w:rPr>
          <w:rFonts w:ascii="Times New Roman" w:eastAsia="Times New Roman" w:hAnsi="Times New Roman" w:cs="Times New Roman"/>
        </w:rPr>
        <w:t>7. Brief summary</w:t>
      </w:r>
    </w:p>
    <w:p w:rsidR="00211E5F" w:rsidRDefault="00A30083">
      <w:pPr>
        <w:jc w:val="both"/>
      </w:pPr>
      <w:r>
        <w:rPr>
          <w:rFonts w:ascii="Times New Roman" w:eastAsia="Times New Roman" w:hAnsi="Times New Roman" w:cs="Times New Roman"/>
        </w:rPr>
        <w:t xml:space="preserve">8. Short key bibliography </w:t>
      </w:r>
    </w:p>
    <w:p w:rsidR="00211E5F" w:rsidRDefault="00211E5F">
      <w:pPr>
        <w:spacing w:after="240"/>
        <w:jc w:val="both"/>
      </w:pPr>
    </w:p>
    <w:p w:rsidR="00211E5F" w:rsidRDefault="00A30083">
      <w:pPr>
        <w:jc w:val="both"/>
      </w:pPr>
      <w:r>
        <w:rPr>
          <w:rFonts w:ascii="Times New Roman" w:eastAsia="Times New Roman" w:hAnsi="Times New Roman" w:cs="Times New Roman"/>
          <w:b/>
        </w:rPr>
        <w:t xml:space="preserve">Conference languages </w:t>
      </w:r>
    </w:p>
    <w:p w:rsidR="00211E5F" w:rsidRDefault="00A30083">
      <w:pPr>
        <w:spacing w:after="240"/>
        <w:jc w:val="both"/>
      </w:pPr>
      <w:r>
        <w:rPr>
          <w:rFonts w:ascii="Times New Roman" w:eastAsia="Times New Roman" w:hAnsi="Times New Roman" w:cs="Times New Roman"/>
        </w:rPr>
        <w:t>The official languages of the conference are English and Italian. Simultaneous interpreting (English &gt; Italian; Italian &gt; Engl</w:t>
      </w:r>
      <w:r>
        <w:rPr>
          <w:rFonts w:ascii="Times New Roman" w:eastAsia="Times New Roman" w:hAnsi="Times New Roman" w:cs="Times New Roman"/>
        </w:rPr>
        <w:t xml:space="preserve">ish) will be offered by FIT volunteer student interpreters. </w:t>
      </w:r>
    </w:p>
    <w:p w:rsidR="00211E5F" w:rsidRDefault="00211E5F">
      <w:pPr>
        <w:jc w:val="both"/>
        <w:rPr>
          <w:rFonts w:ascii="Times New Roman" w:eastAsia="Times New Roman" w:hAnsi="Times New Roman" w:cs="Times New Roman"/>
          <w:b/>
          <w:i/>
        </w:rPr>
      </w:pPr>
    </w:p>
    <w:p w:rsidR="00211E5F" w:rsidRDefault="00A30083">
      <w:pPr>
        <w:jc w:val="both"/>
      </w:pPr>
      <w:r>
        <w:rPr>
          <w:rFonts w:ascii="Times New Roman" w:eastAsia="Times New Roman" w:hAnsi="Times New Roman" w:cs="Times New Roman"/>
          <w:b/>
          <w:i/>
        </w:rPr>
        <w:t>Scientific Committee</w:t>
      </w:r>
    </w:p>
    <w:p w:rsidR="00211E5F" w:rsidRDefault="00A30083">
      <w:pPr>
        <w:jc w:val="both"/>
        <w:rPr>
          <w:rFonts w:ascii="Times New Roman" w:eastAsia="Times New Roman" w:hAnsi="Times New Roman" w:cs="Times New Roman"/>
        </w:rPr>
      </w:pPr>
      <w:r>
        <w:rPr>
          <w:rFonts w:ascii="Times New Roman" w:eastAsia="Times New Roman" w:hAnsi="Times New Roman" w:cs="Times New Roman"/>
        </w:rPr>
        <w:t>Claudio Bendazzoli, University of Turin</w:t>
      </w:r>
    </w:p>
    <w:p w:rsidR="00211E5F" w:rsidRDefault="00A30083">
      <w:pPr>
        <w:jc w:val="both"/>
        <w:rPr>
          <w:rFonts w:ascii="Times New Roman" w:eastAsia="Times New Roman" w:hAnsi="Times New Roman" w:cs="Times New Roman"/>
        </w:rPr>
      </w:pPr>
      <w:r>
        <w:rPr>
          <w:rFonts w:ascii="Times New Roman" w:eastAsia="Times New Roman" w:hAnsi="Times New Roman" w:cs="Times New Roman"/>
        </w:rPr>
        <w:t>Marta Biagini, UNINT</w:t>
      </w:r>
    </w:p>
    <w:p w:rsidR="00211E5F" w:rsidRDefault="00A30083">
      <w:pPr>
        <w:jc w:val="both"/>
      </w:pPr>
      <w:r>
        <w:rPr>
          <w:rFonts w:ascii="Times New Roman" w:eastAsia="Times New Roman" w:hAnsi="Times New Roman" w:cs="Times New Roman"/>
        </w:rPr>
        <w:t>Michael S. Boyd, UNINT and Roma Tre University</w:t>
      </w:r>
    </w:p>
    <w:p w:rsidR="00211E5F" w:rsidRDefault="00A30083">
      <w:pPr>
        <w:jc w:val="both"/>
      </w:pPr>
      <w:r>
        <w:rPr>
          <w:rFonts w:ascii="Times New Roman" w:eastAsia="Times New Roman" w:hAnsi="Times New Roman" w:cs="Times New Roman"/>
        </w:rPr>
        <w:t>Elena Davitti, University of Surrey</w:t>
      </w:r>
    </w:p>
    <w:p w:rsidR="00211E5F" w:rsidRDefault="00A30083">
      <w:pPr>
        <w:jc w:val="both"/>
        <w:rPr>
          <w:rFonts w:ascii="Times New Roman" w:eastAsia="Times New Roman" w:hAnsi="Times New Roman" w:cs="Times New Roman"/>
        </w:rPr>
      </w:pPr>
      <w:r>
        <w:rPr>
          <w:rFonts w:ascii="Times New Roman" w:eastAsia="Times New Roman" w:hAnsi="Times New Roman" w:cs="Times New Roman"/>
        </w:rPr>
        <w:t>Giuliana Garzone, University of Milan</w:t>
      </w:r>
    </w:p>
    <w:p w:rsidR="00211E5F" w:rsidRDefault="00A30083">
      <w:pPr>
        <w:jc w:val="both"/>
      </w:pPr>
      <w:r>
        <w:rPr>
          <w:rFonts w:ascii="Times New Roman" w:eastAsia="Times New Roman" w:hAnsi="Times New Roman" w:cs="Times New Roman"/>
        </w:rPr>
        <w:t>Gabriele Mack, University of Bologna (Forlì)</w:t>
      </w:r>
    </w:p>
    <w:p w:rsidR="00211E5F" w:rsidRDefault="00A30083">
      <w:pPr>
        <w:jc w:val="both"/>
      </w:pPr>
      <w:r>
        <w:rPr>
          <w:rFonts w:ascii="Times New Roman" w:eastAsia="Times New Roman" w:hAnsi="Times New Roman" w:cs="Times New Roman"/>
        </w:rPr>
        <w:t>Raffaela Merlini, University of Macerata</w:t>
      </w:r>
    </w:p>
    <w:p w:rsidR="00211E5F" w:rsidRDefault="00A30083">
      <w:pPr>
        <w:jc w:val="both"/>
      </w:pPr>
      <w:r>
        <w:rPr>
          <w:rFonts w:ascii="Times New Roman" w:eastAsia="Times New Roman" w:hAnsi="Times New Roman" w:cs="Times New Roman"/>
        </w:rPr>
        <w:t>Claudia Monacelli, UNINT</w:t>
      </w:r>
    </w:p>
    <w:p w:rsidR="00211E5F" w:rsidRDefault="00A30083">
      <w:pPr>
        <w:jc w:val="both"/>
      </w:pPr>
      <w:r>
        <w:rPr>
          <w:rFonts w:ascii="Times New Roman" w:eastAsia="Times New Roman" w:hAnsi="Times New Roman" w:cs="Times New Roman"/>
        </w:rPr>
        <w:t>Annalisa Sandrelli, UNINT</w:t>
      </w:r>
    </w:p>
    <w:p w:rsidR="00211E5F" w:rsidRDefault="00A30083">
      <w:pPr>
        <w:jc w:val="both"/>
      </w:pPr>
      <w:r>
        <w:rPr>
          <w:rFonts w:ascii="Times New Roman" w:eastAsia="Times New Roman" w:hAnsi="Times New Roman" w:cs="Times New Roman"/>
        </w:rPr>
        <w:t xml:space="preserve">Maurizio Viezzi, University of Trieste </w:t>
      </w:r>
    </w:p>
    <w:p w:rsidR="00211E5F" w:rsidRDefault="00211E5F">
      <w:pPr>
        <w:jc w:val="both"/>
      </w:pPr>
    </w:p>
    <w:sectPr w:rsidR="00211E5F">
      <w:headerReference w:type="default" r:id="rId10"/>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83" w:rsidRDefault="00A30083">
      <w:r>
        <w:separator/>
      </w:r>
    </w:p>
  </w:endnote>
  <w:endnote w:type="continuationSeparator" w:id="0">
    <w:p w:rsidR="00A30083" w:rsidRDefault="00A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83" w:rsidRDefault="00A30083">
      <w:r>
        <w:separator/>
      </w:r>
    </w:p>
  </w:footnote>
  <w:footnote w:type="continuationSeparator" w:id="0">
    <w:p w:rsidR="00A30083" w:rsidRDefault="00A3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5F" w:rsidRDefault="00A30083">
    <w:pPr>
      <w:jc w:val="center"/>
      <w:rPr>
        <w:rFonts w:ascii="Times New Roman" w:eastAsia="Times New Roman" w:hAnsi="Times New Roman" w:cs="Times New Roman"/>
      </w:rPr>
    </w:pPr>
    <w:r>
      <w:rPr>
        <w:noProof/>
      </w:rPr>
      <w:drawing>
        <wp:inline distT="114300" distB="114300" distL="114300" distR="114300">
          <wp:extent cx="1866900" cy="7524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66900" cy="7524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3555A"/>
    <w:multiLevelType w:val="multilevel"/>
    <w:tmpl w:val="6EA899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4A957B14"/>
    <w:multiLevelType w:val="multilevel"/>
    <w:tmpl w:val="EDE40C6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6FA6000C"/>
    <w:multiLevelType w:val="multilevel"/>
    <w:tmpl w:val="071C0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5F"/>
    <w:rsid w:val="00211E5F"/>
    <w:rsid w:val="00610238"/>
    <w:rsid w:val="00A30083"/>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78941-F73E-41D8-BE17-27FF64A0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gl-ES" w:eastAsia="gl-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Ttulo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st.at/trans/16Nr/09_4/poechhacker16.htm" TargetMode="External"/><Relationship Id="rId3" Type="http://schemas.openxmlformats.org/officeDocument/2006/relationships/settings" Target="settings.xml"/><Relationship Id="rId7" Type="http://schemas.openxmlformats.org/officeDocument/2006/relationships/hyperlink" Target="http://www.inst.at/trans/16Nr/09_4/poechhacker1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t.at/trans/16Nr/09_4/poechhacker1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Universidade de Vigo</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alugris</dc:creator>
  <cp:lastModifiedBy>Alberto Álvarez Lugrís</cp:lastModifiedBy>
  <cp:revision>2</cp:revision>
  <dcterms:created xsi:type="dcterms:W3CDTF">2017-05-13T21:01:00Z</dcterms:created>
  <dcterms:modified xsi:type="dcterms:W3CDTF">2017-05-13T21:01:00Z</dcterms:modified>
</cp:coreProperties>
</file>